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AB02"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center"/>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REGLEMENT STICHTING INDIVIDUELE VERZEKERINGSAANSPRAKEN SJOA</w:t>
      </w:r>
    </w:p>
    <w:p w14:paraId="368F5A8C"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34917923"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4BE10A1B"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Reglement inzake taak en werkwijze van het bestuur van de Stichting Individuele Verzekeringsaanspraken </w:t>
      </w: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 xml:space="preserve">, gebaseerd op artikel 11 van de statuten van de Stichting Individuele Verzekeringsaanspraken </w:t>
      </w: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w:t>
      </w:r>
    </w:p>
    <w:p w14:paraId="134D9836"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22D50066"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607D060B"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1.</w:t>
      </w:r>
      <w:r w:rsidRPr="00A8618C">
        <w:rPr>
          <w:rFonts w:ascii="Arial" w:eastAsia="Times New Roman" w:hAnsi="Arial" w:cs="Times New Roman"/>
          <w:b/>
          <w:sz w:val="20"/>
          <w:szCs w:val="20"/>
          <w:lang w:eastAsia="nl-NL"/>
        </w:rPr>
        <w:tab/>
        <w:t>Begripsomschrijvingen</w:t>
      </w:r>
    </w:p>
    <w:p w14:paraId="375DCEA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24CDC3C5"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w:t>
      </w:r>
      <w:r w:rsidRPr="00A8618C">
        <w:rPr>
          <w:rFonts w:ascii="Arial" w:eastAsia="Times New Roman" w:hAnsi="Arial" w:cs="Times New Roman"/>
          <w:sz w:val="20"/>
          <w:szCs w:val="20"/>
          <w:lang w:eastAsia="nl-NL"/>
        </w:rPr>
        <w:tab/>
      </w:r>
      <w:r w:rsidRPr="00A8618C">
        <w:rPr>
          <w:rFonts w:ascii="Arial" w:eastAsia="Times New Roman" w:hAnsi="Arial" w:cs="Times New Roman"/>
          <w:sz w:val="20"/>
          <w:szCs w:val="20"/>
          <w:lang w:eastAsia="nl-NL"/>
        </w:rPr>
        <w:tab/>
        <w:t>De vervolging en vernietiging van Joden door Nazi Duitsland.</w:t>
      </w:r>
      <w:r w:rsidRPr="00A8618C">
        <w:rPr>
          <w:rFonts w:ascii="Arial" w:eastAsia="Times New Roman" w:hAnsi="Arial" w:cs="Times New Roman"/>
          <w:sz w:val="20"/>
          <w:szCs w:val="20"/>
          <w:lang w:eastAsia="nl-NL"/>
        </w:rPr>
        <w:tab/>
      </w:r>
    </w:p>
    <w:p w14:paraId="04DC3403"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
    <w:p w14:paraId="0EC40998"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Stichting:</w:t>
      </w:r>
      <w:r w:rsidRPr="00A8618C">
        <w:rPr>
          <w:rFonts w:ascii="Arial" w:eastAsia="Times New Roman" w:hAnsi="Arial" w:cs="Times New Roman"/>
          <w:sz w:val="20"/>
          <w:szCs w:val="20"/>
          <w:lang w:eastAsia="nl-NL"/>
        </w:rPr>
        <w:tab/>
        <w:t xml:space="preserve">De Stichting Individuele Verzekeringsaanspraken </w:t>
      </w:r>
      <w:proofErr w:type="spellStart"/>
      <w:r w:rsidRPr="00A8618C">
        <w:rPr>
          <w:rFonts w:ascii="Arial" w:eastAsia="Times New Roman" w:hAnsi="Arial" w:cs="Times New Roman"/>
          <w:sz w:val="20"/>
          <w:szCs w:val="20"/>
          <w:lang w:eastAsia="nl-NL"/>
        </w:rPr>
        <w:t>Sjoa</w:t>
      </w:r>
      <w:proofErr w:type="spellEnd"/>
    </w:p>
    <w:p w14:paraId="11B0D008"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
    <w:p w14:paraId="47298525"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Bestuur:</w:t>
      </w:r>
      <w:r w:rsidRPr="00A8618C">
        <w:rPr>
          <w:rFonts w:ascii="Arial" w:eastAsia="Times New Roman" w:hAnsi="Arial" w:cs="Times New Roman"/>
          <w:sz w:val="20"/>
          <w:szCs w:val="20"/>
          <w:lang w:eastAsia="nl-NL"/>
        </w:rPr>
        <w:tab/>
        <w:t xml:space="preserve">Het bestuur van de Stichting Individuele Verzekeringsaanspraken </w:t>
      </w:r>
      <w:proofErr w:type="spellStart"/>
      <w:r w:rsidRPr="00A8618C">
        <w:rPr>
          <w:rFonts w:ascii="Arial" w:eastAsia="Times New Roman" w:hAnsi="Arial" w:cs="Times New Roman"/>
          <w:sz w:val="20"/>
          <w:szCs w:val="20"/>
          <w:lang w:eastAsia="nl-NL"/>
        </w:rPr>
        <w:t>Sjoa</w:t>
      </w:r>
      <w:proofErr w:type="spellEnd"/>
    </w:p>
    <w:p w14:paraId="1EE5A5CC"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
    <w:p w14:paraId="6B165647"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Pretendent:</w:t>
      </w:r>
      <w:r w:rsidRPr="00A8618C">
        <w:rPr>
          <w:rFonts w:ascii="Arial" w:eastAsia="Times New Roman" w:hAnsi="Arial" w:cs="Times New Roman"/>
          <w:sz w:val="20"/>
          <w:szCs w:val="20"/>
          <w:lang w:eastAsia="nl-NL"/>
        </w:rPr>
        <w:tab/>
        <w:t>De verzekeringnemer, de verzekerde, de begunstigde alsmede hun wettelijke en testamentaire erfgenamen en rechtverkrijgenden onder algemene titel.</w:t>
      </w:r>
    </w:p>
    <w:p w14:paraId="52F8D375"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
    <w:p w14:paraId="2ED51E79"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Verzekeraar: </w:t>
      </w:r>
      <w:r w:rsidRPr="00A8618C">
        <w:rPr>
          <w:rFonts w:ascii="Arial" w:eastAsia="Times New Roman" w:hAnsi="Arial" w:cs="Times New Roman"/>
          <w:sz w:val="20"/>
          <w:szCs w:val="20"/>
          <w:lang w:eastAsia="nl-NL"/>
        </w:rPr>
        <w:tab/>
        <w:t xml:space="preserve">Een levensverzekeraar als bedoeld in artikel 1.1 van de Wet op het financieel toezicht die lid is van het Verbond van Verzekeraars in Nederland. </w:t>
      </w:r>
    </w:p>
    <w:p w14:paraId="40FEE22C"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sz w:val="20"/>
          <w:szCs w:val="20"/>
          <w:lang w:eastAsia="nl-NL"/>
        </w:rPr>
      </w:pPr>
    </w:p>
    <w:p w14:paraId="0D378023" w14:textId="77777777" w:rsidR="00904070" w:rsidRPr="00A8618C" w:rsidRDefault="00904070" w:rsidP="00904070">
      <w:pPr>
        <w:tabs>
          <w:tab w:val="left" w:pos="567"/>
          <w:tab w:val="left" w:pos="1418"/>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418" w:hanging="1418"/>
        <w:jc w:val="both"/>
        <w:textAlignment w:val="baseline"/>
        <w:rPr>
          <w:rFonts w:ascii="Arial" w:eastAsia="Times New Roman" w:hAnsi="Arial" w:cs="Times New Roman"/>
          <w:i/>
          <w:sz w:val="20"/>
          <w:szCs w:val="20"/>
          <w:u w:val="single"/>
          <w:lang w:eastAsia="nl-NL"/>
        </w:rPr>
      </w:pPr>
      <w:r w:rsidRPr="00A8618C">
        <w:rPr>
          <w:rFonts w:ascii="Arial" w:eastAsia="Times New Roman" w:hAnsi="Arial" w:cs="Times New Roman"/>
          <w:sz w:val="20"/>
          <w:szCs w:val="20"/>
          <w:lang w:eastAsia="nl-NL"/>
        </w:rPr>
        <w:t>Aanspraak:</w:t>
      </w:r>
      <w:r w:rsidRPr="00A8618C">
        <w:rPr>
          <w:rFonts w:ascii="Arial" w:eastAsia="Times New Roman" w:hAnsi="Arial" w:cs="Times New Roman"/>
          <w:sz w:val="20"/>
          <w:szCs w:val="20"/>
          <w:lang w:eastAsia="nl-NL"/>
        </w:rPr>
        <w:tab/>
        <w:t xml:space="preserve">Een op geld waardeerbare vordering ter zake van een verzekering vóór 1943 gesloten bij een verzekeraar van respectievelijk op het leven van een Joodse verzekerde die het slachtoffer is geworden van de </w:t>
      </w: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w:t>
      </w:r>
    </w:p>
    <w:p w14:paraId="253B8380"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7730959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 xml:space="preserve">Artikel 2.        Plaats van vestiging </w:t>
      </w:r>
    </w:p>
    <w:p w14:paraId="1DE7EF1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65CC1D65"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Stichting is gevestigd en houdt kantoor te ‘s-Gravenhage.</w:t>
      </w:r>
    </w:p>
    <w:p w14:paraId="629095F0"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5FD507C1"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3.</w:t>
      </w:r>
      <w:r w:rsidRPr="00A8618C">
        <w:rPr>
          <w:rFonts w:ascii="Arial" w:eastAsia="Times New Roman" w:hAnsi="Arial" w:cs="Times New Roman"/>
          <w:b/>
          <w:sz w:val="20"/>
          <w:szCs w:val="20"/>
          <w:lang w:eastAsia="nl-NL"/>
        </w:rPr>
        <w:tab/>
        <w:t>Taak</w:t>
      </w:r>
    </w:p>
    <w:p w14:paraId="0A9762B7"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6CB2B3A9" w14:textId="77777777" w:rsidR="00904070" w:rsidRPr="00A8618C" w:rsidRDefault="00904070" w:rsidP="00904070">
      <w:pPr>
        <w:numPr>
          <w:ilvl w:val="0"/>
          <w:numId w:val="1"/>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Het bestuur heeft tot taak vast te stellen of een pretendent een aanspraak geldend kan maken jegens een (rechtsvoorganger van een) verzekeraar dan wel recht heeft op vergoeding van de aanspraak, die door de verzekeraar is toegekend. </w:t>
      </w:r>
    </w:p>
    <w:p w14:paraId="1EA3488B" w14:textId="77777777" w:rsidR="00904070" w:rsidRPr="00A8618C" w:rsidRDefault="00904070" w:rsidP="00904070">
      <w:pPr>
        <w:numPr>
          <w:ilvl w:val="12"/>
          <w:numId w:val="0"/>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7922B091" w14:textId="10605B9D" w:rsidR="00904070" w:rsidRPr="00A8618C" w:rsidRDefault="00904070" w:rsidP="00904070">
      <w:pPr>
        <w:numPr>
          <w:ilvl w:val="0"/>
          <w:numId w:val="1"/>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neemt geen aan</w:t>
      </w:r>
      <w:r w:rsidR="001135DA" w:rsidRPr="00A8618C">
        <w:rPr>
          <w:rFonts w:ascii="Arial" w:eastAsia="Times New Roman" w:hAnsi="Arial" w:cs="Times New Roman"/>
          <w:sz w:val="20"/>
          <w:szCs w:val="20"/>
          <w:lang w:eastAsia="nl-NL"/>
        </w:rPr>
        <w:t>vrag</w:t>
      </w:r>
      <w:r w:rsidRPr="00A8618C">
        <w:rPr>
          <w:rFonts w:ascii="Arial" w:eastAsia="Times New Roman" w:hAnsi="Arial" w:cs="Times New Roman"/>
          <w:sz w:val="20"/>
          <w:szCs w:val="20"/>
          <w:lang w:eastAsia="nl-NL"/>
        </w:rPr>
        <w:t>en van pretendenten in behandeling, die vóór 9 november 1999 zijn ingediend bij een verzekeraar en waarop een beslissing tot uitkering is genomen.</w:t>
      </w:r>
    </w:p>
    <w:p w14:paraId="42DCB418" w14:textId="77777777" w:rsidR="00904070" w:rsidRPr="00A8618C" w:rsidRDefault="00904070" w:rsidP="00904070">
      <w:pPr>
        <w:numPr>
          <w:ilvl w:val="12"/>
          <w:numId w:val="0"/>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27F5DBA8" w14:textId="07B4D5FA" w:rsidR="00904070" w:rsidRPr="00A8618C" w:rsidRDefault="00904070" w:rsidP="00904070">
      <w:pPr>
        <w:numPr>
          <w:ilvl w:val="0"/>
          <w:numId w:val="1"/>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neemt geen aan</w:t>
      </w:r>
      <w:r w:rsidR="001135DA" w:rsidRPr="00A8618C">
        <w:rPr>
          <w:rFonts w:ascii="Arial" w:eastAsia="Times New Roman" w:hAnsi="Arial" w:cs="Times New Roman"/>
          <w:sz w:val="20"/>
          <w:szCs w:val="20"/>
          <w:lang w:eastAsia="nl-NL"/>
        </w:rPr>
        <w:t>v</w:t>
      </w:r>
      <w:r w:rsidRPr="00A8618C">
        <w:rPr>
          <w:rFonts w:ascii="Arial" w:eastAsia="Times New Roman" w:hAnsi="Arial" w:cs="Times New Roman"/>
          <w:sz w:val="20"/>
          <w:szCs w:val="20"/>
          <w:lang w:eastAsia="nl-NL"/>
        </w:rPr>
        <w:t>ra</w:t>
      </w:r>
      <w:r w:rsidR="001135DA" w:rsidRPr="00A8618C">
        <w:rPr>
          <w:rFonts w:ascii="Arial" w:eastAsia="Times New Roman" w:hAnsi="Arial" w:cs="Times New Roman"/>
          <w:sz w:val="20"/>
          <w:szCs w:val="20"/>
          <w:lang w:eastAsia="nl-NL"/>
        </w:rPr>
        <w:t>g</w:t>
      </w:r>
      <w:r w:rsidRPr="00A8618C">
        <w:rPr>
          <w:rFonts w:ascii="Arial" w:eastAsia="Times New Roman" w:hAnsi="Arial" w:cs="Times New Roman"/>
          <w:sz w:val="20"/>
          <w:szCs w:val="20"/>
          <w:lang w:eastAsia="nl-NL"/>
        </w:rPr>
        <w:t>en van pretendenten in behandeling</w:t>
      </w:r>
      <w:r w:rsidR="001135DA" w:rsidRPr="00A8618C">
        <w:rPr>
          <w:rFonts w:ascii="Arial" w:eastAsia="Times New Roman" w:hAnsi="Arial" w:cs="Times New Roman"/>
          <w:sz w:val="20"/>
          <w:szCs w:val="20"/>
          <w:lang w:eastAsia="nl-NL"/>
        </w:rPr>
        <w:t xml:space="preserve"> met betrekking tot aanspraken</w:t>
      </w:r>
      <w:r w:rsidRPr="00A8618C">
        <w:rPr>
          <w:rFonts w:ascii="Arial" w:eastAsia="Times New Roman" w:hAnsi="Arial" w:cs="Times New Roman"/>
          <w:sz w:val="20"/>
          <w:szCs w:val="20"/>
          <w:lang w:eastAsia="nl-NL"/>
        </w:rPr>
        <w:t>:</w:t>
      </w:r>
    </w:p>
    <w:p w14:paraId="1DF874D4" w14:textId="77777777" w:rsidR="00904070" w:rsidRPr="00A8618C" w:rsidRDefault="00904070" w:rsidP="00904070">
      <w:pPr>
        <w:numPr>
          <w:ilvl w:val="0"/>
          <w:numId w:val="2"/>
        </w:numPr>
        <w:tabs>
          <w:tab w:val="left" w:pos="567"/>
          <w:tab w:val="left" w:pos="84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waarover door een rechter of door een andere, ter beslechting van geschillen aangewezen dan wel aangezochte instantie al een beslissing is genomen;</w:t>
      </w:r>
    </w:p>
    <w:p w14:paraId="5FA6B6B7" w14:textId="149E9313" w:rsidR="00904070" w:rsidRPr="00A8618C" w:rsidRDefault="00904070" w:rsidP="00904070">
      <w:pPr>
        <w:numPr>
          <w:ilvl w:val="0"/>
          <w:numId w:val="2"/>
        </w:numPr>
        <w:tabs>
          <w:tab w:val="left" w:pos="567"/>
          <w:tab w:val="left" w:pos="84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die nog aanhangig </w:t>
      </w:r>
      <w:r w:rsidR="000F2A9E" w:rsidRPr="00A8618C">
        <w:rPr>
          <w:rFonts w:ascii="Arial" w:eastAsia="Times New Roman" w:hAnsi="Arial" w:cs="Times New Roman"/>
          <w:sz w:val="20"/>
          <w:szCs w:val="20"/>
          <w:lang w:eastAsia="nl-NL"/>
        </w:rPr>
        <w:t>zijn</w:t>
      </w:r>
      <w:r w:rsidRPr="00A8618C">
        <w:rPr>
          <w:rFonts w:ascii="Arial" w:eastAsia="Times New Roman" w:hAnsi="Arial" w:cs="Times New Roman"/>
          <w:sz w:val="20"/>
          <w:szCs w:val="20"/>
          <w:lang w:eastAsia="nl-NL"/>
        </w:rPr>
        <w:t xml:space="preserve"> bij een rechter of een instantie als hiervoor bedoeld.</w:t>
      </w:r>
    </w:p>
    <w:p w14:paraId="19BC722F"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6D75378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44E0610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4.</w:t>
      </w:r>
      <w:r w:rsidRPr="00A8618C">
        <w:rPr>
          <w:rFonts w:ascii="Arial" w:eastAsia="Times New Roman" w:hAnsi="Arial" w:cs="Times New Roman"/>
          <w:sz w:val="20"/>
          <w:szCs w:val="20"/>
          <w:lang w:eastAsia="nl-NL"/>
        </w:rPr>
        <w:tab/>
      </w:r>
      <w:r w:rsidRPr="00A8618C">
        <w:rPr>
          <w:rFonts w:ascii="Arial" w:eastAsia="Times New Roman" w:hAnsi="Arial" w:cs="Times New Roman"/>
          <w:b/>
          <w:sz w:val="20"/>
          <w:szCs w:val="20"/>
          <w:lang w:eastAsia="nl-NL"/>
        </w:rPr>
        <w:t>Uitoefening functie</w:t>
      </w:r>
    </w:p>
    <w:p w14:paraId="6EF736DC"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1D0096A7" w14:textId="77777777" w:rsidR="00904070" w:rsidRPr="00A8618C" w:rsidRDefault="00904070" w:rsidP="00904070">
      <w:pPr>
        <w:numPr>
          <w:ilvl w:val="0"/>
          <w:numId w:val="3"/>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oefent zijn functie onafhankelijk en naar eigen inzicht uit. Het zal geen instructies van wie dan ook aangaande de uitoefening van zijn functie aanvaarden.</w:t>
      </w:r>
    </w:p>
    <w:p w14:paraId="3AA03A8B"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2FF2B0FA" w14:textId="77777777" w:rsidR="00904070" w:rsidRPr="00A8618C" w:rsidRDefault="00904070" w:rsidP="00904070">
      <w:pPr>
        <w:numPr>
          <w:ilvl w:val="0"/>
          <w:numId w:val="4"/>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i/>
          <w:sz w:val="20"/>
          <w:szCs w:val="20"/>
          <w:lang w:eastAsia="nl-NL"/>
        </w:rPr>
      </w:pPr>
      <w:r w:rsidRPr="00A8618C">
        <w:rPr>
          <w:rFonts w:ascii="Arial" w:eastAsia="Times New Roman" w:hAnsi="Arial" w:cs="Times New Roman"/>
          <w:sz w:val="20"/>
          <w:szCs w:val="20"/>
          <w:lang w:eastAsia="nl-NL"/>
        </w:rPr>
        <w:t xml:space="preserve">Het bestuur laat zich bij de beoordeling van een aanspraak van een pretendent onder meer leiden door hetgeen is bepaald in de wet, de verzekeringsovereenkomst, de geldende jurisprudentie, de </w:t>
      </w:r>
      <w:r w:rsidRPr="00A8618C">
        <w:rPr>
          <w:rFonts w:ascii="Arial" w:eastAsia="Times New Roman" w:hAnsi="Arial" w:cs="Times New Roman"/>
          <w:sz w:val="20"/>
          <w:szCs w:val="20"/>
          <w:lang w:eastAsia="nl-NL"/>
        </w:rPr>
        <w:lastRenderedPageBreak/>
        <w:t>redelijk</w:t>
      </w:r>
      <w:r w:rsidRPr="00A8618C">
        <w:rPr>
          <w:rFonts w:ascii="Arial" w:eastAsia="Times New Roman" w:hAnsi="Arial" w:cs="Times New Roman"/>
          <w:sz w:val="20"/>
          <w:szCs w:val="20"/>
          <w:lang w:eastAsia="nl-NL"/>
        </w:rPr>
        <w:softHyphen/>
        <w:t xml:space="preserve">heid en billijkheid, de bijzondere omstandigheden van de </w:t>
      </w: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 xml:space="preserve"> en de toepasselijke gedragscodes en/of ereregelen. In het bijzonder zal het bestuur bij de vaststelling van de aanspraken van een pretendent de volgende uitgangspunten hanteren:</w:t>
      </w:r>
    </w:p>
    <w:p w14:paraId="0C7C2F6E" w14:textId="74A7C0A7" w:rsidR="00904070" w:rsidRPr="00A8618C" w:rsidRDefault="00904070" w:rsidP="00904070">
      <w:pPr>
        <w:numPr>
          <w:ilvl w:val="0"/>
          <w:numId w:val="5"/>
        </w:numPr>
        <w:tabs>
          <w:tab w:val="left" w:pos="567"/>
          <w:tab w:val="left" w:pos="644"/>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verval- en verjaringsbedingen in een verzekeringsovereenkomst blijven buiten toepassing met betrekking tot aanspraken die voor 31 december 20</w:t>
      </w:r>
      <w:r w:rsidR="001135DA" w:rsidRPr="00A8618C">
        <w:rPr>
          <w:rFonts w:ascii="Arial" w:eastAsia="Times New Roman" w:hAnsi="Arial" w:cs="Times New Roman"/>
          <w:sz w:val="20"/>
          <w:szCs w:val="20"/>
          <w:lang w:eastAsia="nl-NL"/>
        </w:rPr>
        <w:t>24</w:t>
      </w:r>
      <w:r w:rsidRPr="00A8618C">
        <w:rPr>
          <w:rFonts w:ascii="Arial" w:eastAsia="Times New Roman" w:hAnsi="Arial" w:cs="Times New Roman"/>
          <w:sz w:val="20"/>
          <w:szCs w:val="20"/>
          <w:lang w:eastAsia="nl-NL"/>
        </w:rPr>
        <w:t xml:space="preserve"> zijn ingediend;</w:t>
      </w:r>
    </w:p>
    <w:p w14:paraId="133442D0" w14:textId="77777777" w:rsidR="00904070" w:rsidRPr="00A8618C" w:rsidRDefault="00904070" w:rsidP="00904070">
      <w:pPr>
        <w:numPr>
          <w:ilvl w:val="0"/>
          <w:numId w:val="5"/>
        </w:numPr>
        <w:tabs>
          <w:tab w:val="left" w:pos="567"/>
          <w:tab w:val="left" w:pos="644"/>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bewijs van een aanspraak zal op basis van redelijkheid en billijkheid beoordeeld worden;</w:t>
      </w:r>
    </w:p>
    <w:p w14:paraId="56F3F3B6" w14:textId="77777777" w:rsidR="00904070" w:rsidRPr="00A8618C" w:rsidRDefault="00904070" w:rsidP="00904070">
      <w:pPr>
        <w:numPr>
          <w:ilvl w:val="0"/>
          <w:numId w:val="5"/>
        </w:numPr>
        <w:tabs>
          <w:tab w:val="left" w:pos="567"/>
          <w:tab w:val="left" w:pos="644"/>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over een toe te kennen aanspraak zal interest worden vergoed volgens de van dit reglement deel uitmakende bijlage 1.</w:t>
      </w:r>
      <w:r w:rsidRPr="00A8618C">
        <w:rPr>
          <w:rFonts w:ascii="Arial" w:eastAsia="Times New Roman" w:hAnsi="Arial" w:cs="Times New Roman"/>
          <w:sz w:val="20"/>
          <w:szCs w:val="20"/>
          <w:lang w:eastAsia="nl-NL"/>
        </w:rPr>
        <w:tab/>
      </w:r>
    </w:p>
    <w:p w14:paraId="67D97843"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284" w:hanging="284"/>
        <w:jc w:val="both"/>
        <w:textAlignment w:val="baseline"/>
        <w:rPr>
          <w:rFonts w:ascii="Arial" w:eastAsia="Times New Roman" w:hAnsi="Arial" w:cs="Times New Roman"/>
          <w:sz w:val="20"/>
          <w:szCs w:val="20"/>
          <w:lang w:eastAsia="nl-NL"/>
        </w:rPr>
      </w:pPr>
    </w:p>
    <w:p w14:paraId="1CE798CE"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284" w:hanging="284"/>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c. Het bestuur kent verzoeken van verzekeraars tot vergoeding van een door de verzekeraar toegekende aanspraak toe indien die toekenning door de verzekeraar gebaseerd is op een rechterlijk vonnis waarbij de verzekeraar veroordeeld is tot betaling, een oordeel van een ter beslechting van geschillen aangewezen instantie, een beslissing van een instantie aan wie de verzekeraar direct of indirect verplicht is te rapporteren, dan wel op basis van een minnelijke regeling voor zover die vóór de totstandkoming daarvan is afgestemd met het bestuur. Het bestuur zal de minnelijke regeling beoordelen ten aanzien van (een) afzonderlijke pretendent(en) met inachtneming van het bepaalde in artikel 4 onder b van dit reglement. Het door de stichting te vergoeden bedrag omvat maximaal het verzekerd bedrag vermeerderd met interest volgens bijlage 1.</w:t>
      </w:r>
    </w:p>
    <w:p w14:paraId="7BDDD0FA"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284" w:hanging="284"/>
        <w:jc w:val="both"/>
        <w:textAlignment w:val="baseline"/>
        <w:rPr>
          <w:rFonts w:ascii="Arial" w:eastAsia="Times New Roman" w:hAnsi="Arial" w:cs="Times New Roman"/>
          <w:sz w:val="20"/>
          <w:szCs w:val="20"/>
          <w:lang w:eastAsia="nl-NL"/>
        </w:rPr>
      </w:pPr>
    </w:p>
    <w:p w14:paraId="07A7053A"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284" w:hanging="284"/>
        <w:jc w:val="both"/>
        <w:textAlignment w:val="baseline"/>
        <w:rPr>
          <w:rFonts w:ascii="Arial" w:eastAsia="Times New Roman" w:hAnsi="Arial" w:cs="Times New Roman"/>
          <w:i/>
          <w:sz w:val="20"/>
          <w:szCs w:val="20"/>
          <w:lang w:eastAsia="nl-NL"/>
        </w:rPr>
      </w:pPr>
      <w:r w:rsidRPr="00A8618C">
        <w:rPr>
          <w:rFonts w:ascii="Arial" w:eastAsia="Times New Roman" w:hAnsi="Arial" w:cs="Times New Roman"/>
          <w:sz w:val="20"/>
          <w:szCs w:val="20"/>
          <w:lang w:eastAsia="nl-NL"/>
        </w:rPr>
        <w:t>d.  Het bestuur wordt bij de uitoefening van zijn functie ondersteund door een secretariaat.</w:t>
      </w:r>
    </w:p>
    <w:p w14:paraId="2D80460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2D0B7115"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b/>
          <w:sz w:val="20"/>
          <w:szCs w:val="20"/>
          <w:lang w:eastAsia="nl-NL"/>
        </w:rPr>
        <w:t>Artikel 5.</w:t>
      </w:r>
      <w:r w:rsidRPr="00A8618C">
        <w:rPr>
          <w:rFonts w:ascii="Arial" w:eastAsia="Times New Roman" w:hAnsi="Arial" w:cs="Times New Roman"/>
          <w:b/>
          <w:sz w:val="20"/>
          <w:szCs w:val="20"/>
          <w:lang w:eastAsia="nl-NL"/>
        </w:rPr>
        <w:tab/>
        <w:t xml:space="preserve">Procedure en vervaltermijn </w:t>
      </w:r>
    </w:p>
    <w:p w14:paraId="2AFDF3BE"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7FC84201" w14:textId="6C178940" w:rsidR="00380B41" w:rsidRPr="00A8618C" w:rsidRDefault="00904070" w:rsidP="00380B41">
      <w:pPr>
        <w:numPr>
          <w:ilvl w:val="0"/>
          <w:numId w:val="6"/>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Aan</w:t>
      </w:r>
      <w:r w:rsidR="001135DA" w:rsidRPr="00A8618C">
        <w:rPr>
          <w:rFonts w:ascii="Arial" w:eastAsia="Times New Roman" w:hAnsi="Arial" w:cs="Times New Roman"/>
          <w:sz w:val="20"/>
          <w:szCs w:val="20"/>
          <w:lang w:eastAsia="nl-NL"/>
        </w:rPr>
        <w:t>vrag</w:t>
      </w:r>
      <w:r w:rsidRPr="00A8618C">
        <w:rPr>
          <w:rFonts w:ascii="Arial" w:eastAsia="Times New Roman" w:hAnsi="Arial" w:cs="Times New Roman"/>
          <w:sz w:val="20"/>
          <w:szCs w:val="20"/>
          <w:lang w:eastAsia="nl-NL"/>
        </w:rPr>
        <w:t>en van pretendenten tot toekenning van aanspraken kunnen bij het bestuur worden ingediend tot uiterlijk 31 december 2024.</w:t>
      </w:r>
    </w:p>
    <w:p w14:paraId="25446F2D" w14:textId="76940794" w:rsidR="00904070" w:rsidRPr="00A8618C" w:rsidRDefault="00904070" w:rsidP="00380B41">
      <w:pPr>
        <w:numPr>
          <w:ilvl w:val="0"/>
          <w:numId w:val="6"/>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Aan</w:t>
      </w:r>
      <w:r w:rsidR="001135DA" w:rsidRPr="00A8618C">
        <w:rPr>
          <w:rFonts w:ascii="Arial" w:eastAsia="Times New Roman" w:hAnsi="Arial" w:cs="Times New Roman"/>
          <w:sz w:val="20"/>
          <w:szCs w:val="20"/>
          <w:lang w:eastAsia="nl-NL"/>
        </w:rPr>
        <w:t>vrag</w:t>
      </w:r>
      <w:r w:rsidRPr="00A8618C">
        <w:rPr>
          <w:rFonts w:ascii="Arial" w:eastAsia="Times New Roman" w:hAnsi="Arial" w:cs="Times New Roman"/>
          <w:sz w:val="20"/>
          <w:szCs w:val="20"/>
          <w:lang w:eastAsia="nl-NL"/>
        </w:rPr>
        <w:t>en dienen schriftelijk</w:t>
      </w:r>
      <w:r w:rsidR="00394555" w:rsidRPr="00A8618C">
        <w:rPr>
          <w:rFonts w:ascii="Arial" w:eastAsia="Times New Roman" w:hAnsi="Arial" w:cs="Times New Roman"/>
          <w:sz w:val="20"/>
          <w:szCs w:val="20"/>
          <w:lang w:eastAsia="nl-NL"/>
        </w:rPr>
        <w:t>,</w:t>
      </w:r>
      <w:r w:rsidRPr="00A8618C">
        <w:rPr>
          <w:rFonts w:ascii="Arial" w:eastAsia="Times New Roman" w:hAnsi="Arial" w:cs="Times New Roman"/>
          <w:sz w:val="20"/>
          <w:szCs w:val="20"/>
          <w:lang w:eastAsia="nl-NL"/>
        </w:rPr>
        <w:t xml:space="preserve"> gemotiveerd en voorzien van de voor handen zijnde bewijsstukken bij het bestuur te worden ingediend. Het bestuur kan aan de pretendent en de verzekeraar verzoeken (nadere) informatie aan het bestuur te verstrekken. </w:t>
      </w:r>
      <w:bookmarkStart w:id="0" w:name="_Hlk27564412"/>
      <w:r w:rsidRPr="00A8618C">
        <w:rPr>
          <w:rFonts w:ascii="Arial" w:eastAsia="Times New Roman" w:hAnsi="Arial" w:cs="Times New Roman"/>
          <w:sz w:val="20"/>
          <w:szCs w:val="20"/>
          <w:lang w:eastAsia="nl-NL"/>
        </w:rPr>
        <w:t>Aan</w:t>
      </w:r>
      <w:r w:rsidR="001135DA" w:rsidRPr="00A8618C">
        <w:rPr>
          <w:rFonts w:ascii="Arial" w:eastAsia="Times New Roman" w:hAnsi="Arial" w:cs="Times New Roman"/>
          <w:sz w:val="20"/>
          <w:szCs w:val="20"/>
          <w:lang w:eastAsia="nl-NL"/>
        </w:rPr>
        <w:t>vrag</w:t>
      </w:r>
      <w:r w:rsidRPr="00A8618C">
        <w:rPr>
          <w:rFonts w:ascii="Arial" w:eastAsia="Times New Roman" w:hAnsi="Arial" w:cs="Times New Roman"/>
          <w:sz w:val="20"/>
          <w:szCs w:val="20"/>
          <w:lang w:eastAsia="nl-NL"/>
        </w:rPr>
        <w:t xml:space="preserve">en die geen </w:t>
      </w:r>
      <w:r w:rsidR="001135DA" w:rsidRPr="00A8618C">
        <w:rPr>
          <w:rFonts w:ascii="Arial" w:eastAsia="Times New Roman" w:hAnsi="Arial" w:cs="Times New Roman"/>
          <w:sz w:val="20"/>
          <w:szCs w:val="20"/>
          <w:lang w:eastAsia="nl-NL"/>
        </w:rPr>
        <w:t>betrekking hebben</w:t>
      </w:r>
      <w:r w:rsidRPr="00A8618C">
        <w:rPr>
          <w:rFonts w:ascii="Arial" w:eastAsia="Times New Roman" w:hAnsi="Arial" w:cs="Times New Roman"/>
          <w:sz w:val="20"/>
          <w:szCs w:val="20"/>
          <w:lang w:eastAsia="nl-NL"/>
        </w:rPr>
        <w:t xml:space="preserve"> o</w:t>
      </w:r>
      <w:r w:rsidR="001135DA" w:rsidRPr="00A8618C">
        <w:rPr>
          <w:rFonts w:ascii="Arial" w:eastAsia="Times New Roman" w:hAnsi="Arial" w:cs="Times New Roman"/>
          <w:sz w:val="20"/>
          <w:szCs w:val="20"/>
          <w:lang w:eastAsia="nl-NL"/>
        </w:rPr>
        <w:t>p een bepaalde</w:t>
      </w:r>
      <w:r w:rsidRPr="00A8618C">
        <w:rPr>
          <w:rFonts w:ascii="Arial" w:eastAsia="Times New Roman" w:hAnsi="Arial" w:cs="Times New Roman"/>
          <w:sz w:val="20"/>
          <w:szCs w:val="20"/>
          <w:lang w:eastAsia="nl-NL"/>
        </w:rPr>
        <w:t xml:space="preserve"> verzekeraar of polis en die geen betrekking hebben op de door de Stichting gepubliceerde namenlijst zullen per 01 januari 2020 niet </w:t>
      </w:r>
      <w:r w:rsidR="00CA42E4" w:rsidRPr="00A8618C">
        <w:rPr>
          <w:rFonts w:ascii="Arial" w:eastAsia="Times New Roman" w:hAnsi="Arial" w:cs="Times New Roman"/>
          <w:sz w:val="20"/>
          <w:szCs w:val="20"/>
          <w:lang w:eastAsia="nl-NL"/>
        </w:rPr>
        <w:t xml:space="preserve">meer </w:t>
      </w:r>
      <w:r w:rsidRPr="00A8618C">
        <w:rPr>
          <w:rFonts w:ascii="Arial" w:eastAsia="Times New Roman" w:hAnsi="Arial" w:cs="Times New Roman"/>
          <w:sz w:val="20"/>
          <w:szCs w:val="20"/>
          <w:lang w:eastAsia="nl-NL"/>
        </w:rPr>
        <w:t xml:space="preserve">in behandeling worden genomen.  </w:t>
      </w:r>
      <w:bookmarkEnd w:id="0"/>
    </w:p>
    <w:p w14:paraId="4D69D71B" w14:textId="3A7F9DC6" w:rsidR="00904070" w:rsidRPr="00A8618C" w:rsidRDefault="00904070" w:rsidP="00904070">
      <w:pPr>
        <w:numPr>
          <w:ilvl w:val="0"/>
          <w:numId w:val="8"/>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Indien de pretendent niet binnen de door het bestuur gestelde termijn voldoet aan het verzoek (nadere) informatie aan het bestuur te verstrekken, wordt hij geacht zijn verzoek tot behandeling te hebben ingetrokken en wordt de aan</w:t>
      </w:r>
      <w:r w:rsidR="001135DA" w:rsidRPr="00A8618C">
        <w:rPr>
          <w:rFonts w:ascii="Arial" w:eastAsia="Times New Roman" w:hAnsi="Arial" w:cs="Times New Roman"/>
          <w:sz w:val="20"/>
          <w:szCs w:val="20"/>
          <w:lang w:eastAsia="nl-NL"/>
        </w:rPr>
        <w:t>vraag</w:t>
      </w:r>
      <w:r w:rsidRPr="00A8618C">
        <w:rPr>
          <w:rFonts w:ascii="Arial" w:eastAsia="Times New Roman" w:hAnsi="Arial" w:cs="Times New Roman"/>
          <w:sz w:val="20"/>
          <w:szCs w:val="20"/>
          <w:lang w:eastAsia="nl-NL"/>
        </w:rPr>
        <w:t xml:space="preserve"> of het verzoek niet (verder) in behandeling genomen. Indien de verzekeraar niet binnen de door het bestuur gestelde termijn voldoet aan het verzoek (nadere) informatie aan het bestuur te verstrekken, handelt het bestuur naar bevind van zaken. </w:t>
      </w:r>
    </w:p>
    <w:p w14:paraId="706E04C4" w14:textId="0A69EB4C" w:rsidR="00904070" w:rsidRPr="00A8618C" w:rsidRDefault="00904070" w:rsidP="00904070">
      <w:pPr>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handelt een aan</w:t>
      </w:r>
      <w:r w:rsidR="00F810FE" w:rsidRPr="00A8618C">
        <w:rPr>
          <w:rFonts w:ascii="Arial" w:eastAsia="Times New Roman" w:hAnsi="Arial" w:cs="Times New Roman"/>
          <w:sz w:val="20"/>
          <w:szCs w:val="20"/>
          <w:lang w:eastAsia="nl-NL"/>
        </w:rPr>
        <w:t>vraag</w:t>
      </w:r>
      <w:r w:rsidRPr="00A8618C">
        <w:rPr>
          <w:rFonts w:ascii="Arial" w:eastAsia="Times New Roman" w:hAnsi="Arial" w:cs="Times New Roman"/>
          <w:sz w:val="20"/>
          <w:szCs w:val="20"/>
          <w:lang w:eastAsia="nl-NL"/>
        </w:rPr>
        <w:t xml:space="preserve"> of een verzoek af door het gemotiveerd toekennen of afwijzen van een aan</w:t>
      </w:r>
      <w:r w:rsidR="00F810FE" w:rsidRPr="00A8618C">
        <w:rPr>
          <w:rFonts w:ascii="Arial" w:eastAsia="Times New Roman" w:hAnsi="Arial" w:cs="Times New Roman"/>
          <w:sz w:val="20"/>
          <w:szCs w:val="20"/>
          <w:lang w:eastAsia="nl-NL"/>
        </w:rPr>
        <w:t>vraag</w:t>
      </w:r>
      <w:r w:rsidRPr="00A8618C">
        <w:rPr>
          <w:rFonts w:ascii="Arial" w:eastAsia="Times New Roman" w:hAnsi="Arial" w:cs="Times New Roman"/>
          <w:sz w:val="20"/>
          <w:szCs w:val="20"/>
          <w:lang w:eastAsia="nl-NL"/>
        </w:rPr>
        <w:t xml:space="preserve"> van een pretendent of van een verzoek van een verzekeraar;</w:t>
      </w:r>
    </w:p>
    <w:p w14:paraId="47B9CADD" w14:textId="6146079A"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284" w:hanging="284"/>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e. </w:t>
      </w:r>
      <w:r w:rsidRPr="00A8618C">
        <w:rPr>
          <w:rFonts w:ascii="Arial" w:eastAsia="Times New Roman" w:hAnsi="Arial" w:cs="Times New Roman"/>
          <w:sz w:val="20"/>
          <w:szCs w:val="20"/>
          <w:lang w:eastAsia="nl-NL"/>
        </w:rPr>
        <w:tab/>
        <w:t>Het bestuur kan te allen tijde deskundigen raadplegen met betrekking tot bij hem ingediende aa</w:t>
      </w:r>
      <w:r w:rsidR="00F810FE" w:rsidRPr="00A8618C">
        <w:rPr>
          <w:rFonts w:ascii="Arial" w:eastAsia="Times New Roman" w:hAnsi="Arial" w:cs="Times New Roman"/>
          <w:sz w:val="20"/>
          <w:szCs w:val="20"/>
          <w:lang w:eastAsia="nl-NL"/>
        </w:rPr>
        <w:t>nvrag</w:t>
      </w:r>
      <w:r w:rsidRPr="00A8618C">
        <w:rPr>
          <w:rFonts w:ascii="Arial" w:eastAsia="Times New Roman" w:hAnsi="Arial" w:cs="Times New Roman"/>
          <w:sz w:val="20"/>
          <w:szCs w:val="20"/>
          <w:lang w:eastAsia="nl-NL"/>
        </w:rPr>
        <w:t>en of verzoeken.</w:t>
      </w:r>
    </w:p>
    <w:p w14:paraId="3DA85D46"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7F0F09DD"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Cs w:val="20"/>
          <w:lang w:eastAsia="nl-NL"/>
        </w:rPr>
      </w:pPr>
    </w:p>
    <w:p w14:paraId="7EFA4F67" w14:textId="77777777" w:rsidR="00904070" w:rsidRPr="00A8618C" w:rsidRDefault="00904070" w:rsidP="00904070">
      <w:pPr>
        <w:keepNext/>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outlineLvl w:val="1"/>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6.</w:t>
      </w:r>
      <w:r w:rsidRPr="00A8618C">
        <w:rPr>
          <w:rFonts w:ascii="Arial" w:eastAsia="Times New Roman" w:hAnsi="Arial" w:cs="Times New Roman"/>
          <w:b/>
          <w:sz w:val="20"/>
          <w:szCs w:val="20"/>
          <w:lang w:eastAsia="nl-NL"/>
        </w:rPr>
        <w:tab/>
        <w:t>Bezwaarcommissie</w:t>
      </w:r>
    </w:p>
    <w:p w14:paraId="63C526D0"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Cs w:val="20"/>
          <w:lang w:eastAsia="nl-NL"/>
        </w:rPr>
      </w:pPr>
    </w:p>
    <w:p w14:paraId="1D6EF845"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Een pretendent die zich met een hem betreffende beslissing van het bestuur niet kan verenigen, kan binnen zes weken na de verzending van de beslissing bij het bestuur een bezwaarschrift indienen.</w:t>
      </w:r>
    </w:p>
    <w:p w14:paraId="45372876"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Dat geldt ook voor de verzekeraar wiens verzoek is afgewezen.</w:t>
      </w:r>
    </w:p>
    <w:p w14:paraId="701815F3"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Het bezwaarschrift vermeldt: </w:t>
      </w:r>
    </w:p>
    <w:p w14:paraId="670EF85F" w14:textId="77777777" w:rsidR="00904070" w:rsidRPr="00A8618C" w:rsidRDefault="00904070" w:rsidP="00904070">
      <w:pPr>
        <w:numPr>
          <w:ilvl w:val="0"/>
          <w:numId w:val="2"/>
        </w:numPr>
        <w:tabs>
          <w:tab w:val="left" w:pos="567"/>
          <w:tab w:val="left" w:pos="108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080"/>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naam en het adres van de pretendent onderscheidenlijk van de verzekeraar;</w:t>
      </w:r>
    </w:p>
    <w:p w14:paraId="445B4055" w14:textId="77777777" w:rsidR="00904070" w:rsidRPr="00A8618C" w:rsidRDefault="00904070" w:rsidP="00904070">
      <w:pPr>
        <w:numPr>
          <w:ilvl w:val="0"/>
          <w:numId w:val="2"/>
        </w:numPr>
        <w:tabs>
          <w:tab w:val="left" w:pos="567"/>
          <w:tab w:val="left" w:pos="108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080"/>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dagtekening;</w:t>
      </w:r>
    </w:p>
    <w:p w14:paraId="7BBFE553" w14:textId="77777777" w:rsidR="00904070" w:rsidRPr="00A8618C" w:rsidRDefault="00904070" w:rsidP="00904070">
      <w:pPr>
        <w:numPr>
          <w:ilvl w:val="0"/>
          <w:numId w:val="2"/>
        </w:numPr>
        <w:tabs>
          <w:tab w:val="left" w:pos="567"/>
          <w:tab w:val="left" w:pos="108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080"/>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een omschrijving van de bestreden beslissing;</w:t>
      </w:r>
    </w:p>
    <w:p w14:paraId="0BCDA94D" w14:textId="77777777" w:rsidR="00904070" w:rsidRPr="00A8618C" w:rsidRDefault="00904070" w:rsidP="00904070">
      <w:pPr>
        <w:numPr>
          <w:ilvl w:val="0"/>
          <w:numId w:val="2"/>
        </w:numPr>
        <w:tabs>
          <w:tab w:val="left" w:pos="567"/>
          <w:tab w:val="left" w:pos="1080"/>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ind w:left="1080"/>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bezwaren tegen de beslissing en haar gronden.</w:t>
      </w:r>
    </w:p>
    <w:p w14:paraId="6BE4A418"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Bij het bezwaarschrift wordt zo mogelijk een afschrift van de bestreden beslissing overgelegd.</w:t>
      </w:r>
    </w:p>
    <w:p w14:paraId="3D78249B"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legt het bezwaarschrift voor aan een commissie van bezwaar. De commissie behandelt het bezwaarschrift, stelt de indiener daarvan in de gelegenheid te worden gehoord, en brengt daarover schriftelijk advies uit aan het bestuur. Het advies is voor het bestuur bindend.</w:t>
      </w:r>
    </w:p>
    <w:p w14:paraId="452119C3" w14:textId="77777777" w:rsidR="00904070" w:rsidRPr="00A8618C" w:rsidRDefault="00904070" w:rsidP="00904070">
      <w:pPr>
        <w:numPr>
          <w:ilvl w:val="0"/>
          <w:numId w:val="10"/>
        </w:numPr>
        <w:tabs>
          <w:tab w:val="left" w:pos="360"/>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leden van de commissie worden benoemd door het Centraal Joods Overleg (</w:t>
      </w:r>
      <w:smartTag w:uri="urn:schemas-microsoft-com:office:smarttags" w:element="PersonName">
        <w:r w:rsidRPr="00A8618C">
          <w:rPr>
            <w:rFonts w:ascii="Arial" w:eastAsia="Times New Roman" w:hAnsi="Arial" w:cs="Times New Roman"/>
            <w:sz w:val="20"/>
            <w:szCs w:val="20"/>
            <w:lang w:eastAsia="nl-NL"/>
          </w:rPr>
          <w:t>CJO</w:t>
        </w:r>
      </w:smartTag>
      <w:r w:rsidRPr="00A8618C">
        <w:rPr>
          <w:rFonts w:ascii="Arial" w:eastAsia="Times New Roman" w:hAnsi="Arial" w:cs="Times New Roman"/>
          <w:sz w:val="20"/>
          <w:szCs w:val="20"/>
          <w:lang w:eastAsia="nl-NL"/>
        </w:rPr>
        <w:t>) en het Verbond van Verzekeraars (</w:t>
      </w:r>
      <w:proofErr w:type="spellStart"/>
      <w:r w:rsidRPr="00A8618C">
        <w:rPr>
          <w:rFonts w:ascii="Arial" w:eastAsia="Times New Roman" w:hAnsi="Arial" w:cs="Times New Roman"/>
          <w:sz w:val="20"/>
          <w:szCs w:val="20"/>
          <w:lang w:eastAsia="nl-NL"/>
        </w:rPr>
        <w:t>VvV</w:t>
      </w:r>
      <w:proofErr w:type="spellEnd"/>
      <w:r w:rsidRPr="00A8618C">
        <w:rPr>
          <w:rFonts w:ascii="Arial" w:eastAsia="Times New Roman" w:hAnsi="Arial" w:cs="Times New Roman"/>
          <w:sz w:val="20"/>
          <w:szCs w:val="20"/>
          <w:lang w:eastAsia="nl-NL"/>
        </w:rPr>
        <w:t>) op voordracht van het bestuur.</w:t>
      </w:r>
    </w:p>
    <w:p w14:paraId="21E6244F"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150BB5B5"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b/>
          <w:sz w:val="20"/>
          <w:szCs w:val="20"/>
          <w:lang w:eastAsia="nl-NL"/>
        </w:rPr>
        <w:t>Artikel 7.</w:t>
      </w:r>
      <w:r w:rsidRPr="00A8618C">
        <w:rPr>
          <w:rFonts w:ascii="Arial" w:eastAsia="Times New Roman" w:hAnsi="Arial" w:cs="Times New Roman"/>
          <w:b/>
          <w:sz w:val="20"/>
          <w:szCs w:val="20"/>
          <w:lang w:eastAsia="nl-NL"/>
        </w:rPr>
        <w:tab/>
        <w:t>Geheimhoudingsplicht</w:t>
      </w:r>
    </w:p>
    <w:p w14:paraId="7D468D6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16ABD8E0" w14:textId="77777777" w:rsidR="00904070" w:rsidRPr="00A8618C" w:rsidRDefault="00904070" w:rsidP="00904070">
      <w:pPr>
        <w:numPr>
          <w:ilvl w:val="0"/>
          <w:numId w:val="11"/>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is gehouden geheimhouding in acht te nemen omtrent de identiteit van de betrokkenen, behoudens voor zover zij hem van de geheimhoudingsplicht hebben ontslagen of uit de uitoefening van zijn functie [krachtens artikel 5 lid e] de noodzaak tot bekendmaking van de identiteit voortvloeit.</w:t>
      </w:r>
    </w:p>
    <w:p w14:paraId="59ABDA39"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30DF962C" w14:textId="77777777" w:rsidR="00904070" w:rsidRPr="00A8618C" w:rsidRDefault="00904070" w:rsidP="00904070">
      <w:pPr>
        <w:numPr>
          <w:ilvl w:val="0"/>
          <w:numId w:val="12"/>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De geheimhoudingsplicht is van overeenkomstige toepassing op de medewerkers van het secretariaat en op deskundigen aan wie de identiteit van betrokkenen is meegedeeld.</w:t>
      </w:r>
      <w:r w:rsidRPr="00A8618C">
        <w:rPr>
          <w:rFonts w:ascii="Arial" w:eastAsia="Times New Roman" w:hAnsi="Arial" w:cs="Times New Roman"/>
          <w:sz w:val="20"/>
          <w:szCs w:val="20"/>
          <w:lang w:eastAsia="nl-NL"/>
        </w:rPr>
        <w:br/>
        <w:t>Deskundigen dienen vooraf een verklaring te ondertekenen waarin zij te kennen geven de geheimhoudingsplicht te aanvaarden.</w:t>
      </w:r>
    </w:p>
    <w:p w14:paraId="0C90EB2E"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2E9B0B5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 xml:space="preserve">Artikel 8. </w:t>
      </w:r>
      <w:r w:rsidRPr="00A8618C">
        <w:rPr>
          <w:rFonts w:ascii="Arial" w:eastAsia="Times New Roman" w:hAnsi="Arial" w:cs="Times New Roman"/>
          <w:b/>
          <w:sz w:val="20"/>
          <w:szCs w:val="20"/>
          <w:lang w:eastAsia="nl-NL"/>
        </w:rPr>
        <w:tab/>
        <w:t>Verslag van werkzaamheden en ervaringen</w:t>
      </w:r>
    </w:p>
    <w:p w14:paraId="0D0EFB53"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12CC5627"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Het bestuur doet eenmaal per kalenderjaar en wel binnen zes maanden na afloop daarvan</w:t>
      </w:r>
      <w:r w:rsidRPr="00A8618C">
        <w:rPr>
          <w:rFonts w:ascii="Arial" w:eastAsia="Times New Roman" w:hAnsi="Arial" w:cs="Times New Roman"/>
          <w:i/>
          <w:sz w:val="20"/>
          <w:szCs w:val="20"/>
          <w:lang w:eastAsia="nl-NL"/>
        </w:rPr>
        <w:t xml:space="preserve"> </w:t>
      </w:r>
      <w:r w:rsidRPr="00A8618C">
        <w:rPr>
          <w:rFonts w:ascii="Arial" w:eastAsia="Times New Roman" w:hAnsi="Arial" w:cs="Times New Roman"/>
          <w:sz w:val="20"/>
          <w:szCs w:val="20"/>
          <w:lang w:eastAsia="nl-NL"/>
        </w:rPr>
        <w:t>openbare mededelingen over zijn werkzaamheden en ervaringen.</w:t>
      </w:r>
    </w:p>
    <w:p w14:paraId="4411D615"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7B4EBB24"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9.</w:t>
      </w:r>
      <w:r w:rsidRPr="00A8618C">
        <w:rPr>
          <w:rFonts w:ascii="Arial" w:eastAsia="Times New Roman" w:hAnsi="Arial" w:cs="Times New Roman"/>
          <w:b/>
          <w:sz w:val="20"/>
          <w:szCs w:val="20"/>
          <w:lang w:eastAsia="nl-NL"/>
        </w:rPr>
        <w:tab/>
        <w:t>Bescherming persoonsgegevens</w:t>
      </w:r>
    </w:p>
    <w:p w14:paraId="166E5A47"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228A158F"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Ter bescherming van de persoonlijke levenssfeer is de verwerking van persoonlijke gegevens aangemeld bij het College Bescherming Persoonsgegevens en beschreven in een privacy reglement.</w:t>
      </w:r>
    </w:p>
    <w:p w14:paraId="2669D888"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45A49B1E"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10.</w:t>
      </w:r>
      <w:r w:rsidRPr="00A8618C">
        <w:rPr>
          <w:rFonts w:ascii="Arial" w:eastAsia="Times New Roman" w:hAnsi="Arial" w:cs="Times New Roman"/>
          <w:b/>
          <w:sz w:val="20"/>
          <w:szCs w:val="20"/>
          <w:lang w:eastAsia="nl-NL"/>
        </w:rPr>
        <w:tab/>
        <w:t>Inwerkingtreding reglement</w:t>
      </w:r>
    </w:p>
    <w:p w14:paraId="56DFB333"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5EEA9B8B" w14:textId="42C55674"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r w:rsidRPr="00A8618C">
        <w:rPr>
          <w:rFonts w:ascii="Arial" w:eastAsia="Times New Roman" w:hAnsi="Arial" w:cs="Times New Roman"/>
          <w:sz w:val="20"/>
          <w:szCs w:val="20"/>
          <w:lang w:eastAsia="nl-NL"/>
        </w:rPr>
        <w:t xml:space="preserve">Dit reglement omvat tevens een bijlage en treedt in werking op 9 november 1999. Op 30 mei 2001 is het reglement gewijzigd door toevoeging van artikel 6. Op 22 maart 2010 is de datum in artikel 4b en 5a veranderd van 31 december </w:t>
      </w:r>
      <w:smartTag w:uri="urn:schemas-microsoft-com:office:smarttags" w:element="metricconverter">
        <w:smartTagPr>
          <w:attr w:name="ProductID" w:val="2009 in"/>
        </w:smartTagPr>
        <w:r w:rsidRPr="00A8618C">
          <w:rPr>
            <w:rFonts w:ascii="Arial" w:eastAsia="Times New Roman" w:hAnsi="Arial" w:cs="Times New Roman"/>
            <w:sz w:val="20"/>
            <w:szCs w:val="20"/>
            <w:lang w:eastAsia="nl-NL"/>
          </w:rPr>
          <w:t>2009 in</w:t>
        </w:r>
      </w:smartTag>
      <w:r w:rsidRPr="00A8618C">
        <w:rPr>
          <w:rFonts w:ascii="Arial" w:eastAsia="Times New Roman" w:hAnsi="Arial" w:cs="Times New Roman"/>
          <w:sz w:val="20"/>
          <w:szCs w:val="20"/>
          <w:lang w:eastAsia="nl-NL"/>
        </w:rPr>
        <w:t xml:space="preserve"> 31 december 2014, op 20 augustus 2015 van 31 december 2014 in 31 december 2019 en op </w:t>
      </w:r>
      <w:r w:rsidR="00FF5C8C">
        <w:rPr>
          <w:rFonts w:ascii="Arial" w:eastAsia="Times New Roman" w:hAnsi="Arial" w:cs="Times New Roman"/>
          <w:sz w:val="20"/>
          <w:szCs w:val="20"/>
          <w:lang w:eastAsia="nl-NL"/>
        </w:rPr>
        <w:t>17 dec</w:t>
      </w:r>
      <w:r w:rsidRPr="00A8618C">
        <w:rPr>
          <w:rFonts w:ascii="Arial" w:eastAsia="Times New Roman" w:hAnsi="Arial" w:cs="Times New Roman"/>
          <w:sz w:val="20"/>
          <w:szCs w:val="20"/>
          <w:lang w:eastAsia="nl-NL"/>
        </w:rPr>
        <w:t>ember 2019 van 31 december 2019 in 31 december 2024.</w:t>
      </w:r>
      <w:r w:rsidR="00F810FE" w:rsidRPr="00A8618C">
        <w:rPr>
          <w:rFonts w:ascii="Arial" w:eastAsia="Times New Roman" w:hAnsi="Arial" w:cs="Times New Roman"/>
          <w:sz w:val="20"/>
          <w:szCs w:val="20"/>
          <w:lang w:eastAsia="nl-NL"/>
        </w:rPr>
        <w:t xml:space="preserve"> Op </w:t>
      </w:r>
      <w:bookmarkStart w:id="1" w:name="_GoBack"/>
      <w:bookmarkEnd w:id="1"/>
      <w:r w:rsidR="00FF5C8C">
        <w:rPr>
          <w:rFonts w:ascii="Arial" w:eastAsia="Times New Roman" w:hAnsi="Arial" w:cs="Times New Roman"/>
          <w:sz w:val="20"/>
          <w:szCs w:val="20"/>
          <w:lang w:eastAsia="nl-NL"/>
        </w:rPr>
        <w:t>17 dec</w:t>
      </w:r>
      <w:r w:rsidR="00F810FE" w:rsidRPr="00A8618C">
        <w:rPr>
          <w:rFonts w:ascii="Arial" w:eastAsia="Times New Roman" w:hAnsi="Arial" w:cs="Times New Roman"/>
          <w:sz w:val="20"/>
          <w:szCs w:val="20"/>
          <w:lang w:eastAsia="nl-NL"/>
        </w:rPr>
        <w:t>ember 2019 is tevens artikel 5b gewijzigd.</w:t>
      </w:r>
    </w:p>
    <w:p w14:paraId="695E128A"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58FA1950"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r w:rsidRPr="00A8618C">
        <w:rPr>
          <w:rFonts w:ascii="Arial" w:eastAsia="Times New Roman" w:hAnsi="Arial" w:cs="Times New Roman"/>
          <w:b/>
          <w:sz w:val="20"/>
          <w:szCs w:val="20"/>
          <w:lang w:eastAsia="nl-NL"/>
        </w:rPr>
        <w:t>Artikel 11.</w:t>
      </w:r>
      <w:r w:rsidRPr="00A8618C">
        <w:rPr>
          <w:rFonts w:ascii="Arial" w:eastAsia="Times New Roman" w:hAnsi="Arial" w:cs="Times New Roman"/>
          <w:b/>
          <w:sz w:val="20"/>
          <w:szCs w:val="20"/>
          <w:lang w:eastAsia="nl-NL"/>
        </w:rPr>
        <w:tab/>
        <w:t>Citeertitel</w:t>
      </w:r>
    </w:p>
    <w:p w14:paraId="0DAA0275" w14:textId="77777777" w:rsidR="00904070" w:rsidRPr="00A8618C"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 w:val="20"/>
          <w:szCs w:val="20"/>
          <w:lang w:eastAsia="nl-NL"/>
        </w:rPr>
      </w:pPr>
    </w:p>
    <w:p w14:paraId="4E2D07AA" w14:textId="77777777" w:rsidR="00904070" w:rsidRPr="007716BF"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szCs w:val="20"/>
          <w:lang w:eastAsia="nl-NL"/>
        </w:rPr>
      </w:pPr>
      <w:r w:rsidRPr="00A8618C">
        <w:rPr>
          <w:rFonts w:ascii="Arial" w:eastAsia="Times New Roman" w:hAnsi="Arial" w:cs="Times New Roman"/>
          <w:sz w:val="20"/>
          <w:szCs w:val="20"/>
          <w:lang w:eastAsia="nl-NL"/>
        </w:rPr>
        <w:t xml:space="preserve">Dit reglement kan worden aangehaald als ‘’Reglement Stichting Individuele Verzekeringsaanspraken </w:t>
      </w:r>
      <w:proofErr w:type="spellStart"/>
      <w:r w:rsidRPr="00A8618C">
        <w:rPr>
          <w:rFonts w:ascii="Arial" w:eastAsia="Times New Roman" w:hAnsi="Arial" w:cs="Times New Roman"/>
          <w:sz w:val="20"/>
          <w:szCs w:val="20"/>
          <w:lang w:eastAsia="nl-NL"/>
        </w:rPr>
        <w:t>Sjoa</w:t>
      </w:r>
      <w:proofErr w:type="spellEnd"/>
      <w:r w:rsidRPr="00A8618C">
        <w:rPr>
          <w:rFonts w:ascii="Arial" w:eastAsia="Times New Roman" w:hAnsi="Arial" w:cs="Times New Roman"/>
          <w:sz w:val="20"/>
          <w:szCs w:val="20"/>
          <w:lang w:eastAsia="nl-NL"/>
        </w:rPr>
        <w:t>”.</w:t>
      </w:r>
    </w:p>
    <w:p w14:paraId="308BD156" w14:textId="77777777" w:rsidR="00904070" w:rsidRPr="00904070"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7EEA9C24" w14:textId="77777777" w:rsidR="00904070" w:rsidRPr="00904070"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0975115C" w14:textId="77777777" w:rsidR="00904070" w:rsidRPr="00904070" w:rsidRDefault="00904070" w:rsidP="0090407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rPr>
          <w:rFonts w:ascii="Arial" w:eastAsia="Times New Roman" w:hAnsi="Arial" w:cs="Times New Roman"/>
          <w:b/>
          <w:sz w:val="20"/>
          <w:szCs w:val="20"/>
          <w:lang w:eastAsia="nl-NL"/>
        </w:rPr>
      </w:pPr>
    </w:p>
    <w:p w14:paraId="6B27A8B2" w14:textId="77777777" w:rsidR="001C250E" w:rsidRDefault="001C250E"/>
    <w:sectPr w:rsidR="001C2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E6F782"/>
    <w:lvl w:ilvl="0">
      <w:numFmt w:val="bullet"/>
      <w:lvlText w:val="*"/>
      <w:lvlJc w:val="left"/>
    </w:lvl>
  </w:abstractNum>
  <w:abstractNum w:abstractNumId="1" w15:restartNumberingAfterBreak="0">
    <w:nsid w:val="266A7516"/>
    <w:multiLevelType w:val="singleLevel"/>
    <w:tmpl w:val="B1CA2318"/>
    <w:lvl w:ilvl="0">
      <w:start w:val="1"/>
      <w:numFmt w:val="lowerLetter"/>
      <w:lvlText w:val="%1."/>
      <w:legacy w:legacy="1" w:legacySpace="0" w:legacyIndent="283"/>
      <w:lvlJc w:val="left"/>
      <w:pPr>
        <w:ind w:left="283" w:hanging="283"/>
      </w:pPr>
    </w:lvl>
  </w:abstractNum>
  <w:abstractNum w:abstractNumId="2" w15:restartNumberingAfterBreak="0">
    <w:nsid w:val="2A693FFC"/>
    <w:multiLevelType w:val="singleLevel"/>
    <w:tmpl w:val="B1CA2318"/>
    <w:lvl w:ilvl="0">
      <w:start w:val="1"/>
      <w:numFmt w:val="lowerLetter"/>
      <w:lvlText w:val="%1."/>
      <w:legacy w:legacy="1" w:legacySpace="0" w:legacyIndent="283"/>
      <w:lvlJc w:val="left"/>
      <w:pPr>
        <w:ind w:left="283" w:hanging="283"/>
      </w:pPr>
    </w:lvl>
  </w:abstractNum>
  <w:abstractNum w:abstractNumId="3" w15:restartNumberingAfterBreak="0">
    <w:nsid w:val="3D0C3C31"/>
    <w:multiLevelType w:val="singleLevel"/>
    <w:tmpl w:val="B1CA2318"/>
    <w:lvl w:ilvl="0">
      <w:start w:val="2"/>
      <w:numFmt w:val="lowerLetter"/>
      <w:lvlText w:val="%1."/>
      <w:legacy w:legacy="1" w:legacySpace="0" w:legacyIndent="283"/>
      <w:lvlJc w:val="left"/>
      <w:pPr>
        <w:ind w:left="283" w:hanging="283"/>
      </w:pPr>
    </w:lvl>
  </w:abstractNum>
  <w:abstractNum w:abstractNumId="4" w15:restartNumberingAfterBreak="0">
    <w:nsid w:val="63877208"/>
    <w:multiLevelType w:val="singleLevel"/>
    <w:tmpl w:val="5A76C6E4"/>
    <w:lvl w:ilvl="0">
      <w:start w:val="2"/>
      <w:numFmt w:val="lowerLetter"/>
      <w:lvlText w:val="%1. "/>
      <w:legacy w:legacy="1" w:legacySpace="0" w:legacyIndent="283"/>
      <w:lvlJc w:val="left"/>
      <w:pPr>
        <w:ind w:left="283" w:hanging="283"/>
      </w:pPr>
      <w:rPr>
        <w:rFonts w:ascii="Arial" w:hAnsi="Arial" w:cs="Arial" w:hint="default"/>
        <w:i w:val="0"/>
        <w:sz w:val="22"/>
      </w:rPr>
    </w:lvl>
  </w:abstractNum>
  <w:abstractNum w:abstractNumId="5" w15:restartNumberingAfterBreak="0">
    <w:nsid w:val="6D9E0B8E"/>
    <w:multiLevelType w:val="singleLevel"/>
    <w:tmpl w:val="EC7028C4"/>
    <w:lvl w:ilvl="0">
      <w:start w:val="1"/>
      <w:numFmt w:val="lowerLetter"/>
      <w:lvlText w:val="%1."/>
      <w:legacy w:legacy="1" w:legacySpace="120" w:legacyIndent="360"/>
      <w:lvlJc w:val="left"/>
      <w:pPr>
        <w:ind w:left="360" w:hanging="360"/>
      </w:pPr>
    </w:lvl>
  </w:abstractNum>
  <w:abstractNum w:abstractNumId="6" w15:restartNumberingAfterBreak="0">
    <w:nsid w:val="7B8204CC"/>
    <w:multiLevelType w:val="singleLevel"/>
    <w:tmpl w:val="1F263A32"/>
    <w:lvl w:ilvl="0">
      <w:start w:val="1"/>
      <w:numFmt w:val="lowerLetter"/>
      <w:lvlText w:val="%1. "/>
      <w:legacy w:legacy="1" w:legacySpace="0" w:legacyIndent="283"/>
      <w:lvlJc w:val="left"/>
      <w:pPr>
        <w:ind w:left="283" w:hanging="283"/>
      </w:pPr>
      <w:rPr>
        <w:rFonts w:ascii="Arial" w:hAnsi="Arial" w:cs="Arial" w:hint="default"/>
        <w:sz w:val="22"/>
      </w:rPr>
    </w:lvl>
  </w:abstractNum>
  <w:abstractNum w:abstractNumId="7" w15:restartNumberingAfterBreak="0">
    <w:nsid w:val="7FB110C5"/>
    <w:multiLevelType w:val="singleLevel"/>
    <w:tmpl w:val="1F263A32"/>
    <w:lvl w:ilvl="0">
      <w:start w:val="1"/>
      <w:numFmt w:val="lowerLetter"/>
      <w:lvlText w:val="%1. "/>
      <w:legacy w:legacy="1" w:legacySpace="0" w:legacyIndent="283"/>
      <w:lvlJc w:val="left"/>
      <w:pPr>
        <w:ind w:left="283" w:hanging="283"/>
      </w:pPr>
      <w:rPr>
        <w:rFonts w:ascii="Arial" w:hAnsi="Arial" w:cs="Arial" w:hint="default"/>
        <w:sz w:val="22"/>
      </w:rPr>
    </w:lvl>
  </w:abstractNum>
  <w:num w:numId="1">
    <w:abstractNumId w:val="7"/>
  </w:num>
  <w:num w:numId="2">
    <w:abstractNumId w:val="0"/>
    <w:lvlOverride w:ilvl="0">
      <w:lvl w:ilvl="0">
        <w:start w:val="1"/>
        <w:numFmt w:val="bullet"/>
        <w:lvlText w:val=""/>
        <w:legacy w:legacy="1" w:legacySpace="120" w:legacyIndent="360"/>
        <w:lvlJc w:val="left"/>
        <w:pPr>
          <w:ind w:left="840" w:hanging="360"/>
        </w:pPr>
        <w:rPr>
          <w:rFonts w:ascii="Symbol" w:hAnsi="Symbol" w:hint="default"/>
        </w:rPr>
      </w:lvl>
    </w:lvlOverride>
  </w:num>
  <w:num w:numId="3">
    <w:abstractNumId w:val="6"/>
  </w:num>
  <w:num w:numId="4">
    <w:abstractNumId w:val="4"/>
  </w:num>
  <w:num w:numId="5">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6">
    <w:abstractNumId w:val="2"/>
  </w:num>
  <w:num w:numId="7">
    <w:abstractNumId w:val="2"/>
    <w:lvlOverride w:ilvl="0">
      <w:lvl w:ilvl="0">
        <w:start w:val="2"/>
        <w:numFmt w:val="lowerLetter"/>
        <w:lvlText w:val="%1."/>
        <w:legacy w:legacy="1" w:legacySpace="0" w:legacyIndent="283"/>
        <w:lvlJc w:val="left"/>
        <w:pPr>
          <w:ind w:left="283" w:hanging="283"/>
        </w:pPr>
      </w:lvl>
    </w:lvlOverride>
  </w:num>
  <w:num w:numId="8">
    <w:abstractNumId w:val="2"/>
    <w:lvlOverride w:ilvl="0">
      <w:lvl w:ilvl="0">
        <w:start w:val="3"/>
        <w:numFmt w:val="lowerLetter"/>
        <w:lvlText w:val="%1."/>
        <w:legacy w:legacy="1" w:legacySpace="0" w:legacyIndent="283"/>
        <w:lvlJc w:val="left"/>
        <w:pPr>
          <w:ind w:left="283" w:hanging="283"/>
        </w:pPr>
      </w:lvl>
    </w:lvlOverride>
  </w:num>
  <w:num w:numId="9">
    <w:abstractNumId w:val="2"/>
    <w:lvlOverride w:ilvl="0">
      <w:lvl w:ilvl="0">
        <w:start w:val="4"/>
        <w:numFmt w:val="lowerLetter"/>
        <w:lvlText w:val="%1."/>
        <w:legacy w:legacy="1" w:legacySpace="0" w:legacyIndent="283"/>
        <w:lvlJc w:val="left"/>
        <w:pPr>
          <w:ind w:left="283" w:hanging="283"/>
        </w:pPr>
      </w:lvl>
    </w:lvlOverride>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70"/>
    <w:rsid w:val="000F2A9E"/>
    <w:rsid w:val="001135DA"/>
    <w:rsid w:val="001C250E"/>
    <w:rsid w:val="00380B41"/>
    <w:rsid w:val="00393B83"/>
    <w:rsid w:val="00394555"/>
    <w:rsid w:val="00904070"/>
    <w:rsid w:val="00A8618C"/>
    <w:rsid w:val="00CA42E4"/>
    <w:rsid w:val="00F810FE"/>
    <w:rsid w:val="00FF5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C9B225D"/>
  <w15:chartTrackingRefBased/>
  <w15:docId w15:val="{ABFCAB9D-8F9B-4ABD-9A3D-80DF97D2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0B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1225</Words>
  <Characters>6739</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Artikel 6.	Bezwaarcommissie</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 Henk van der</dc:creator>
  <cp:keywords/>
  <dc:description/>
  <cp:lastModifiedBy>Well, Henk van der</cp:lastModifiedBy>
  <cp:revision>7</cp:revision>
  <cp:lastPrinted>2019-12-18T09:41:00Z</cp:lastPrinted>
  <dcterms:created xsi:type="dcterms:W3CDTF">2019-10-17T13:39:00Z</dcterms:created>
  <dcterms:modified xsi:type="dcterms:W3CDTF">2019-12-18T11:35:00Z</dcterms:modified>
</cp:coreProperties>
</file>